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87" w:rsidRPr="0071575F" w:rsidRDefault="00746A87" w:rsidP="00746A87">
      <w:pPr>
        <w:jc w:val="center"/>
        <w:rPr>
          <w:rFonts w:cs="Arial"/>
          <w:b/>
          <w:bCs/>
          <w:sz w:val="24"/>
          <w:szCs w:val="24"/>
        </w:rPr>
      </w:pPr>
      <w:bookmarkStart w:id="0" w:name="_GoBack"/>
      <w:bookmarkEnd w:id="0"/>
      <w:r>
        <w:rPr>
          <w:b/>
          <w:sz w:val="24"/>
          <w:szCs w:val="24"/>
        </w:rPr>
        <w:t>Dr. XXXX</w:t>
      </w:r>
      <w:r w:rsidRPr="0071575F">
        <w:rPr>
          <w:b/>
          <w:sz w:val="24"/>
          <w:szCs w:val="24"/>
        </w:rPr>
        <w:t>, PhD</w:t>
      </w:r>
      <w:r w:rsidRPr="0071575F">
        <w:rPr>
          <w:rFonts w:cs="Arial"/>
          <w:b/>
          <w:bCs/>
          <w:sz w:val="24"/>
          <w:szCs w:val="24"/>
        </w:rPr>
        <w:t xml:space="preserve"> — </w:t>
      </w:r>
      <w:r>
        <w:rPr>
          <w:rFonts w:cs="Arial"/>
          <w:b/>
          <w:bCs/>
          <w:sz w:val="24"/>
          <w:szCs w:val="24"/>
        </w:rPr>
        <w:t>Budget Justification</w:t>
      </w:r>
    </w:p>
    <w:p w:rsidR="00746A87" w:rsidRDefault="00746A87" w:rsidP="00746A87">
      <w:pPr>
        <w:pStyle w:val="Heading1"/>
      </w:pPr>
      <w:r>
        <w:t>Personnel</w:t>
      </w:r>
    </w:p>
    <w:p w:rsidR="00746A87" w:rsidRDefault="00746A87" w:rsidP="00746A87">
      <w:pPr>
        <w:pStyle w:val="text"/>
      </w:pPr>
      <w:proofErr w:type="gramStart"/>
      <w:r>
        <w:rPr>
          <w:b/>
        </w:rPr>
        <w:t xml:space="preserve">Dr. XXXXX, PhD, </w:t>
      </w:r>
      <w:r>
        <w:rPr>
          <w:b/>
          <w:i/>
        </w:rPr>
        <w:t>Project Leader.</w:t>
      </w:r>
      <w:proofErr w:type="gramEnd"/>
      <w:r>
        <w:t xml:space="preserve"> Dr. Naylor will commit a total of 6 calendar months to this project as Project Leader; salary support is requested. As Project Leader, Dr. </w:t>
      </w:r>
      <w:r w:rsidR="003E674A">
        <w:t>XXX</w:t>
      </w:r>
      <w:r>
        <w:t xml:space="preserve"> will oversee all research aspects of this project and will devote 3.5 calendar months during the academic year and 2.5 calendar months during the summer. A 3% increase in salary is requested for Years 2–5. Fringe benefits are calculated at 31% of salary.</w:t>
      </w:r>
    </w:p>
    <w:p w:rsidR="00746A87" w:rsidRDefault="00746A87" w:rsidP="00746A87">
      <w:pPr>
        <w:pStyle w:val="text"/>
      </w:pPr>
      <w:proofErr w:type="gramStart"/>
      <w:r w:rsidRPr="003F6BCD">
        <w:rPr>
          <w:b/>
        </w:rPr>
        <w:t>To Be Named</w:t>
      </w:r>
      <w:r>
        <w:rPr>
          <w:b/>
        </w:rPr>
        <w:t>,</w:t>
      </w:r>
      <w:r w:rsidRPr="003F6BCD">
        <w:rPr>
          <w:b/>
          <w:i/>
        </w:rPr>
        <w:t xml:space="preserve"> Undergraduate students</w:t>
      </w:r>
      <w:r>
        <w:t>.</w:t>
      </w:r>
      <w:proofErr w:type="gramEnd"/>
      <w:r>
        <w:t xml:space="preserve"> Four (Y</w:t>
      </w:r>
      <w:r w:rsidRPr="00D90BA9">
        <w:t>ears 1</w:t>
      </w:r>
      <w:r>
        <w:rPr>
          <w:rFonts w:cs="Arial"/>
        </w:rPr>
        <w:t>–</w:t>
      </w:r>
      <w:r w:rsidRPr="00D90BA9">
        <w:t>4</w:t>
      </w:r>
      <w:r>
        <w:t xml:space="preserve">) </w:t>
      </w:r>
      <w:r w:rsidR="003E674A">
        <w:t>and</w:t>
      </w:r>
      <w:r>
        <w:t xml:space="preserve"> five (Y</w:t>
      </w:r>
      <w:r w:rsidRPr="00D90BA9">
        <w:t>ear 5</w:t>
      </w:r>
      <w:r>
        <w:t xml:space="preserve">) undergraduate </w:t>
      </w:r>
      <w:r w:rsidRPr="006233A6">
        <w:t>students</w:t>
      </w:r>
      <w:r>
        <w:t xml:space="preserve"> will commit 100% effort during summer months (equivalent to 10 weeks). The undergraduate students will conduct experiments, evaluate the experimental data, and design follow-up experiments, under the supervision of the Project Leader.</w:t>
      </w:r>
      <w:r w:rsidRPr="003D50C8">
        <w:t xml:space="preserve"> </w:t>
      </w:r>
      <w:r>
        <w:t xml:space="preserve">In all years, benefits are calculated at 7.65% (FICA) of salaries. </w:t>
      </w:r>
    </w:p>
    <w:p w:rsidR="00746A87" w:rsidRDefault="00746A87" w:rsidP="00746A87">
      <w:pPr>
        <w:pStyle w:val="Heading1"/>
      </w:pPr>
      <w:r>
        <w:t>Consultants</w:t>
      </w:r>
    </w:p>
    <w:p w:rsidR="00746A87" w:rsidRDefault="00746A87" w:rsidP="00746A87">
      <w:pPr>
        <w:pStyle w:val="text"/>
      </w:pPr>
      <w:r>
        <w:t>Not applicable</w:t>
      </w:r>
    </w:p>
    <w:p w:rsidR="00746A87" w:rsidRDefault="00746A87" w:rsidP="00746A87">
      <w:pPr>
        <w:pStyle w:val="Heading1"/>
      </w:pPr>
      <w:r>
        <w:t>Equipment</w:t>
      </w:r>
    </w:p>
    <w:p w:rsidR="00746A87" w:rsidRDefault="00746A87" w:rsidP="00746A87">
      <w:pPr>
        <w:pStyle w:val="text"/>
      </w:pPr>
      <w:r w:rsidRPr="00266E3B">
        <w:rPr>
          <w:b/>
        </w:rPr>
        <w:t>In Year 1</w:t>
      </w:r>
      <w:r>
        <w:t xml:space="preserve">, $8,500 is requested to purchase equipment. We will purchase a laminar flow hood to eliminate serious problems in culturing </w:t>
      </w:r>
      <w:r w:rsidRPr="00E6621A">
        <w:rPr>
          <w:i/>
        </w:rPr>
        <w:t xml:space="preserve">D. </w:t>
      </w:r>
      <w:proofErr w:type="spellStart"/>
      <w:r w:rsidRPr="00E6621A">
        <w:rPr>
          <w:i/>
        </w:rPr>
        <w:t>discoideum</w:t>
      </w:r>
      <w:proofErr w:type="spellEnd"/>
      <w:r>
        <w:t>, which can result in lost time and resources due to contaminated cultures. We will also purchase a thermocycler for using PCR to create clones and knockout strains.</w:t>
      </w:r>
    </w:p>
    <w:p w:rsidR="00746A87" w:rsidRDefault="00746A87" w:rsidP="00746A87">
      <w:pPr>
        <w:pStyle w:val="text"/>
      </w:pPr>
      <w:r w:rsidRPr="00266E3B">
        <w:rPr>
          <w:b/>
        </w:rPr>
        <w:t>In Year 2</w:t>
      </w:r>
      <w:r>
        <w:t xml:space="preserve">, $7,000 is requested to purchase </w:t>
      </w:r>
      <w:proofErr w:type="spellStart"/>
      <w:r>
        <w:t>electroporator</w:t>
      </w:r>
      <w:proofErr w:type="spellEnd"/>
      <w:r>
        <w:t xml:space="preserve">, which is necessary to transform cells with expression vectors or gene deletion vectors to create </w:t>
      </w:r>
      <w:r w:rsidRPr="00E6621A">
        <w:rPr>
          <w:i/>
        </w:rPr>
        <w:t xml:space="preserve">D. </w:t>
      </w:r>
      <w:proofErr w:type="spellStart"/>
      <w:r w:rsidRPr="00E6621A">
        <w:rPr>
          <w:i/>
        </w:rPr>
        <w:t>discoideum</w:t>
      </w:r>
      <w:proofErr w:type="spellEnd"/>
      <w:r>
        <w:t xml:space="preserve"> strains necessary for Aims 1 and 2.</w:t>
      </w:r>
    </w:p>
    <w:p w:rsidR="00746A87" w:rsidRDefault="00746A87" w:rsidP="00746A87">
      <w:pPr>
        <w:pStyle w:val="Heading1"/>
      </w:pPr>
      <w:r>
        <w:t>Supplies</w:t>
      </w:r>
    </w:p>
    <w:p w:rsidR="00746A87" w:rsidRDefault="00746A87" w:rsidP="00746A87">
      <w:pPr>
        <w:pStyle w:val="text"/>
        <w:spacing w:after="0"/>
      </w:pPr>
      <w:r>
        <w:t>Funds in the amount of $51,634 are requested to purchase necessary supplies to complete the experiments described in Specific Aims 1 and 2, summarized in the table below.</w:t>
      </w:r>
    </w:p>
    <w:p w:rsidR="00746A87" w:rsidRDefault="00746A87" w:rsidP="00746A87">
      <w:pPr>
        <w:pStyle w:val="text"/>
        <w:numPr>
          <w:ilvl w:val="0"/>
          <w:numId w:val="1"/>
        </w:numPr>
        <w:spacing w:after="0"/>
        <w:ind w:left="187" w:hanging="187"/>
      </w:pPr>
      <w:r>
        <w:t>Year 1: $8,398 to purchase microscopy, culturing, cloning, transformation, and consumable supplies, as well as small equipment such as a pH meter and stir plate</w:t>
      </w:r>
    </w:p>
    <w:p w:rsidR="00746A87" w:rsidRDefault="00746A87" w:rsidP="00746A87">
      <w:pPr>
        <w:pStyle w:val="text"/>
        <w:numPr>
          <w:ilvl w:val="0"/>
          <w:numId w:val="1"/>
        </w:numPr>
        <w:spacing w:after="0"/>
        <w:ind w:left="187" w:hanging="187"/>
      </w:pPr>
      <w:r>
        <w:t>Year 2: $10,075 to purchase microscopy, culturing, cloning, transformation, and consumable supplies</w:t>
      </w:r>
    </w:p>
    <w:p w:rsidR="00746A87" w:rsidRDefault="00746A87" w:rsidP="00746A87">
      <w:pPr>
        <w:pStyle w:val="text"/>
        <w:numPr>
          <w:ilvl w:val="0"/>
          <w:numId w:val="1"/>
        </w:numPr>
        <w:spacing w:after="0"/>
        <w:ind w:left="187" w:hanging="187"/>
      </w:pPr>
      <w:r>
        <w:t>Year 3: $14,266 to purchase microscopy, culturing, cloning, transformation, co-immunoprecipitation, and consumable supplies</w:t>
      </w:r>
    </w:p>
    <w:p w:rsidR="00746A87" w:rsidRDefault="00746A87" w:rsidP="00746A87">
      <w:pPr>
        <w:pStyle w:val="text"/>
        <w:numPr>
          <w:ilvl w:val="0"/>
          <w:numId w:val="1"/>
        </w:numPr>
        <w:spacing w:after="0"/>
        <w:ind w:left="187" w:hanging="187"/>
      </w:pPr>
      <w:r>
        <w:t>Year 4: $12,919 to purchase microscopy, culturing, co-immunoprecipitation, and consumable supplies</w:t>
      </w:r>
    </w:p>
    <w:p w:rsidR="00746A87" w:rsidRDefault="00746A87" w:rsidP="00746A87">
      <w:pPr>
        <w:pStyle w:val="text"/>
        <w:numPr>
          <w:ilvl w:val="0"/>
          <w:numId w:val="1"/>
        </w:numPr>
        <w:spacing w:after="0"/>
        <w:ind w:left="187" w:hanging="187"/>
      </w:pPr>
      <w:r>
        <w:t xml:space="preserve">Year 5: $11,998 to purchase microscopy, culturing, co-immunoprecipitation, and consumable supplies </w:t>
      </w:r>
    </w:p>
    <w:p w:rsidR="00746A87" w:rsidRDefault="00746A87" w:rsidP="00746A87">
      <w:pPr>
        <w:pStyle w:val="text"/>
        <w:spacing w:after="0"/>
        <w:ind w:left="187"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2614"/>
        <w:gridCol w:w="487"/>
        <w:gridCol w:w="599"/>
        <w:gridCol w:w="599"/>
        <w:gridCol w:w="599"/>
        <w:gridCol w:w="599"/>
        <w:gridCol w:w="599"/>
        <w:gridCol w:w="599"/>
        <w:gridCol w:w="599"/>
        <w:gridCol w:w="599"/>
        <w:gridCol w:w="584"/>
      </w:tblGrid>
      <w:tr w:rsidR="00746A87" w:rsidTr="00CE1865">
        <w:tc>
          <w:tcPr>
            <w:tcW w:w="1152" w:type="pct"/>
          </w:tcPr>
          <w:p w:rsidR="00746A87" w:rsidRDefault="00746A87" w:rsidP="00CE1865">
            <w:pPr>
              <w:tabs>
                <w:tab w:val="left" w:pos="0"/>
                <w:tab w:val="left" w:pos="720"/>
              </w:tabs>
            </w:pPr>
            <w:r>
              <w:t>Supply Category</w:t>
            </w:r>
          </w:p>
        </w:tc>
        <w:tc>
          <w:tcPr>
            <w:tcW w:w="1186" w:type="pct"/>
          </w:tcPr>
          <w:p w:rsidR="00746A87" w:rsidRDefault="00746A87" w:rsidP="00CE1865">
            <w:pPr>
              <w:tabs>
                <w:tab w:val="left" w:pos="0"/>
                <w:tab w:val="left" w:pos="720"/>
              </w:tabs>
            </w:pPr>
            <w:r>
              <w:t>Task</w:t>
            </w:r>
          </w:p>
        </w:tc>
        <w:tc>
          <w:tcPr>
            <w:tcW w:w="493" w:type="pct"/>
            <w:gridSpan w:val="2"/>
          </w:tcPr>
          <w:p w:rsidR="00746A87" w:rsidRDefault="00746A87" w:rsidP="00CE1865">
            <w:pPr>
              <w:tabs>
                <w:tab w:val="left" w:pos="0"/>
                <w:tab w:val="left" w:pos="720"/>
              </w:tabs>
              <w:jc w:val="center"/>
            </w:pPr>
            <w:r>
              <w:t>Year 1</w:t>
            </w:r>
          </w:p>
        </w:tc>
        <w:tc>
          <w:tcPr>
            <w:tcW w:w="544" w:type="pct"/>
            <w:gridSpan w:val="2"/>
          </w:tcPr>
          <w:p w:rsidR="00746A87" w:rsidRDefault="00746A87" w:rsidP="00CE1865">
            <w:pPr>
              <w:tabs>
                <w:tab w:val="left" w:pos="0"/>
                <w:tab w:val="left" w:pos="720"/>
              </w:tabs>
              <w:jc w:val="center"/>
            </w:pPr>
            <w:r>
              <w:t>Year 2</w:t>
            </w:r>
          </w:p>
        </w:tc>
        <w:tc>
          <w:tcPr>
            <w:tcW w:w="544" w:type="pct"/>
            <w:gridSpan w:val="2"/>
          </w:tcPr>
          <w:p w:rsidR="00746A87" w:rsidRDefault="00746A87" w:rsidP="00CE1865">
            <w:pPr>
              <w:tabs>
                <w:tab w:val="left" w:pos="0"/>
                <w:tab w:val="left" w:pos="720"/>
              </w:tabs>
              <w:jc w:val="center"/>
            </w:pPr>
            <w:r>
              <w:t>Year 3</w:t>
            </w:r>
          </w:p>
        </w:tc>
        <w:tc>
          <w:tcPr>
            <w:tcW w:w="544" w:type="pct"/>
            <w:gridSpan w:val="2"/>
          </w:tcPr>
          <w:p w:rsidR="00746A87" w:rsidRDefault="00746A87" w:rsidP="00CE1865">
            <w:pPr>
              <w:tabs>
                <w:tab w:val="left" w:pos="0"/>
                <w:tab w:val="left" w:pos="720"/>
              </w:tabs>
              <w:jc w:val="center"/>
            </w:pPr>
            <w:r>
              <w:t>Year 4</w:t>
            </w:r>
          </w:p>
        </w:tc>
        <w:tc>
          <w:tcPr>
            <w:tcW w:w="537" w:type="pct"/>
            <w:gridSpan w:val="2"/>
          </w:tcPr>
          <w:p w:rsidR="00746A87" w:rsidRDefault="00746A87" w:rsidP="00CE1865">
            <w:pPr>
              <w:tabs>
                <w:tab w:val="left" w:pos="0"/>
                <w:tab w:val="left" w:pos="720"/>
              </w:tabs>
              <w:jc w:val="center"/>
            </w:pPr>
            <w:r>
              <w:t>Year 5</w:t>
            </w:r>
          </w:p>
        </w:tc>
      </w:tr>
      <w:tr w:rsidR="00746A87" w:rsidTr="00CE1865">
        <w:tc>
          <w:tcPr>
            <w:tcW w:w="1152" w:type="pct"/>
          </w:tcPr>
          <w:p w:rsidR="00746A87" w:rsidRPr="00E02E24" w:rsidRDefault="00746A87" w:rsidP="00CE1865">
            <w:pPr>
              <w:tabs>
                <w:tab w:val="left" w:pos="0"/>
                <w:tab w:val="left" w:pos="720"/>
              </w:tabs>
              <w:rPr>
                <w:sz w:val="20"/>
              </w:rPr>
            </w:pPr>
            <w:r w:rsidRPr="00E02E24">
              <w:rPr>
                <w:sz w:val="20"/>
              </w:rPr>
              <w:t>Microscopy</w:t>
            </w:r>
          </w:p>
        </w:tc>
        <w:tc>
          <w:tcPr>
            <w:tcW w:w="1186" w:type="pct"/>
          </w:tcPr>
          <w:p w:rsidR="00746A87" w:rsidRPr="00E02E24" w:rsidRDefault="00746A87" w:rsidP="00CE1865">
            <w:pPr>
              <w:tabs>
                <w:tab w:val="left" w:pos="0"/>
                <w:tab w:val="left" w:pos="720"/>
              </w:tabs>
              <w:rPr>
                <w:sz w:val="20"/>
              </w:rPr>
            </w:pPr>
            <w:r w:rsidRPr="00E02E24">
              <w:rPr>
                <w:sz w:val="20"/>
              </w:rPr>
              <w:t>Refine visualization assay</w:t>
            </w:r>
          </w:p>
        </w:tc>
        <w:tc>
          <w:tcPr>
            <w:tcW w:w="221" w:type="pct"/>
            <w:shd w:val="clear" w:color="auto" w:fill="000000"/>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65" w:type="pct"/>
          </w:tcPr>
          <w:p w:rsidR="00746A87" w:rsidRPr="00E02E24" w:rsidRDefault="00746A87" w:rsidP="00CE1865">
            <w:pPr>
              <w:tabs>
                <w:tab w:val="left" w:pos="0"/>
                <w:tab w:val="left" w:pos="720"/>
              </w:tabs>
              <w:rPr>
                <w:sz w:val="20"/>
              </w:rPr>
            </w:pPr>
          </w:p>
        </w:tc>
      </w:tr>
      <w:tr w:rsidR="00746A87" w:rsidTr="00CE1865">
        <w:tc>
          <w:tcPr>
            <w:tcW w:w="1152" w:type="pct"/>
          </w:tcPr>
          <w:p w:rsidR="00746A87" w:rsidRPr="00E02E24" w:rsidRDefault="00746A87" w:rsidP="00CE1865">
            <w:pPr>
              <w:tabs>
                <w:tab w:val="left" w:pos="0"/>
                <w:tab w:val="left" w:pos="720"/>
              </w:tabs>
              <w:rPr>
                <w:sz w:val="20"/>
              </w:rPr>
            </w:pPr>
            <w:r w:rsidRPr="00E02E24">
              <w:rPr>
                <w:sz w:val="20"/>
              </w:rPr>
              <w:t>Cloning and transformation</w:t>
            </w:r>
          </w:p>
        </w:tc>
        <w:tc>
          <w:tcPr>
            <w:tcW w:w="1186" w:type="pct"/>
          </w:tcPr>
          <w:p w:rsidR="00746A87" w:rsidRPr="00E02E24" w:rsidRDefault="00746A87" w:rsidP="00CE1865">
            <w:pPr>
              <w:tabs>
                <w:tab w:val="left" w:pos="0"/>
                <w:tab w:val="left" w:pos="720"/>
              </w:tabs>
              <w:rPr>
                <w:sz w:val="20"/>
              </w:rPr>
            </w:pPr>
            <w:r w:rsidRPr="00E02E24">
              <w:rPr>
                <w:sz w:val="20"/>
              </w:rPr>
              <w:t xml:space="preserve">Create </w:t>
            </w:r>
            <w:proofErr w:type="spellStart"/>
            <w:r w:rsidRPr="00E02E24">
              <w:rPr>
                <w:sz w:val="20"/>
              </w:rPr>
              <w:t>Δ</w:t>
            </w:r>
            <w:r w:rsidRPr="00E02E24">
              <w:rPr>
                <w:i/>
                <w:sz w:val="20"/>
              </w:rPr>
              <w:t>fszA</w:t>
            </w:r>
            <w:proofErr w:type="spellEnd"/>
          </w:p>
        </w:tc>
        <w:tc>
          <w:tcPr>
            <w:tcW w:w="221" w:type="pct"/>
            <w:shd w:val="clear" w:color="auto" w:fill="000000"/>
          </w:tcPr>
          <w:p w:rsidR="00746A87" w:rsidRPr="00E02E24" w:rsidRDefault="00746A87" w:rsidP="00CE1865">
            <w:pPr>
              <w:tabs>
                <w:tab w:val="left" w:pos="0"/>
                <w:tab w:val="left" w:pos="720"/>
              </w:tabs>
              <w:rPr>
                <w:sz w:val="20"/>
              </w:rPr>
            </w:pPr>
          </w:p>
        </w:tc>
        <w:tc>
          <w:tcPr>
            <w:tcW w:w="272" w:type="pct"/>
            <w:shd w:val="clear" w:color="auto" w:fill="000000"/>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65" w:type="pct"/>
          </w:tcPr>
          <w:p w:rsidR="00746A87" w:rsidRPr="00E02E24" w:rsidRDefault="00746A87" w:rsidP="00CE1865">
            <w:pPr>
              <w:tabs>
                <w:tab w:val="left" w:pos="0"/>
                <w:tab w:val="left" w:pos="720"/>
              </w:tabs>
              <w:rPr>
                <w:sz w:val="20"/>
              </w:rPr>
            </w:pPr>
          </w:p>
        </w:tc>
      </w:tr>
      <w:tr w:rsidR="00746A87" w:rsidTr="00CE1865">
        <w:tc>
          <w:tcPr>
            <w:tcW w:w="1152" w:type="pct"/>
          </w:tcPr>
          <w:p w:rsidR="00746A87" w:rsidRPr="00E02E24" w:rsidRDefault="00746A87" w:rsidP="00CE1865">
            <w:pPr>
              <w:tabs>
                <w:tab w:val="left" w:pos="0"/>
                <w:tab w:val="left" w:pos="720"/>
              </w:tabs>
              <w:rPr>
                <w:sz w:val="20"/>
              </w:rPr>
            </w:pPr>
            <w:r w:rsidRPr="00E02E24">
              <w:rPr>
                <w:sz w:val="20"/>
              </w:rPr>
              <w:t>Microscopy</w:t>
            </w:r>
          </w:p>
        </w:tc>
        <w:tc>
          <w:tcPr>
            <w:tcW w:w="1186" w:type="pct"/>
          </w:tcPr>
          <w:p w:rsidR="00746A87" w:rsidRPr="00E02E24" w:rsidRDefault="00746A87" w:rsidP="00CE1865">
            <w:pPr>
              <w:tabs>
                <w:tab w:val="left" w:pos="0"/>
                <w:tab w:val="left" w:pos="720"/>
              </w:tabs>
              <w:rPr>
                <w:sz w:val="20"/>
              </w:rPr>
            </w:pPr>
            <w:r w:rsidRPr="00E02E24">
              <w:rPr>
                <w:sz w:val="20"/>
              </w:rPr>
              <w:t>Quantify fission events</w:t>
            </w:r>
          </w:p>
        </w:tc>
        <w:tc>
          <w:tcPr>
            <w:tcW w:w="221" w:type="pct"/>
            <w:shd w:val="clear" w:color="auto" w:fill="000000"/>
          </w:tcPr>
          <w:p w:rsidR="00746A87" w:rsidRPr="00E02E24" w:rsidRDefault="00746A87" w:rsidP="00CE1865">
            <w:pPr>
              <w:tabs>
                <w:tab w:val="left" w:pos="0"/>
                <w:tab w:val="left" w:pos="720"/>
              </w:tabs>
              <w:rPr>
                <w:sz w:val="20"/>
              </w:rPr>
            </w:pPr>
          </w:p>
        </w:tc>
        <w:tc>
          <w:tcPr>
            <w:tcW w:w="272" w:type="pct"/>
            <w:tcBorders>
              <w:bottom w:val="single" w:sz="4" w:space="0" w:color="auto"/>
            </w:tcBorders>
            <w:shd w:val="clear" w:color="auto" w:fill="000000"/>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Borders>
              <w:bottom w:val="single" w:sz="4" w:space="0" w:color="auto"/>
            </w:tcBorders>
          </w:tcPr>
          <w:p w:rsidR="00746A87" w:rsidRPr="00E02E24" w:rsidRDefault="00746A87" w:rsidP="00CE1865">
            <w:pPr>
              <w:tabs>
                <w:tab w:val="left" w:pos="0"/>
                <w:tab w:val="left" w:pos="720"/>
              </w:tabs>
              <w:rPr>
                <w:sz w:val="20"/>
              </w:rPr>
            </w:pPr>
          </w:p>
        </w:tc>
        <w:tc>
          <w:tcPr>
            <w:tcW w:w="272" w:type="pct"/>
            <w:tcBorders>
              <w:bottom w:val="single" w:sz="4" w:space="0" w:color="auto"/>
            </w:tcBorders>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65" w:type="pct"/>
          </w:tcPr>
          <w:p w:rsidR="00746A87" w:rsidRPr="00E02E24" w:rsidRDefault="00746A87" w:rsidP="00CE1865">
            <w:pPr>
              <w:tabs>
                <w:tab w:val="left" w:pos="0"/>
                <w:tab w:val="left" w:pos="720"/>
              </w:tabs>
              <w:rPr>
                <w:sz w:val="20"/>
              </w:rPr>
            </w:pPr>
          </w:p>
        </w:tc>
      </w:tr>
      <w:tr w:rsidR="00746A87" w:rsidTr="00CE1865">
        <w:tc>
          <w:tcPr>
            <w:tcW w:w="1152" w:type="pct"/>
          </w:tcPr>
          <w:p w:rsidR="00746A87" w:rsidRPr="00E02E24" w:rsidRDefault="00746A87" w:rsidP="00CE1865">
            <w:pPr>
              <w:tabs>
                <w:tab w:val="left" w:pos="0"/>
                <w:tab w:val="left" w:pos="720"/>
              </w:tabs>
              <w:rPr>
                <w:sz w:val="20"/>
              </w:rPr>
            </w:pPr>
            <w:r w:rsidRPr="00E02E24">
              <w:rPr>
                <w:sz w:val="20"/>
              </w:rPr>
              <w:t>Cloning and transformation</w:t>
            </w:r>
          </w:p>
        </w:tc>
        <w:tc>
          <w:tcPr>
            <w:tcW w:w="1186" w:type="pct"/>
          </w:tcPr>
          <w:p w:rsidR="00746A87" w:rsidRPr="00E02E24" w:rsidRDefault="00746A87" w:rsidP="00CE1865">
            <w:pPr>
              <w:tabs>
                <w:tab w:val="left" w:pos="0"/>
                <w:tab w:val="left" w:pos="720"/>
              </w:tabs>
              <w:rPr>
                <w:sz w:val="20"/>
              </w:rPr>
            </w:pPr>
            <w:r w:rsidRPr="00E02E24">
              <w:rPr>
                <w:sz w:val="20"/>
              </w:rPr>
              <w:t xml:space="preserve">Clone </w:t>
            </w:r>
            <w:proofErr w:type="spellStart"/>
            <w:r w:rsidRPr="00E02E24">
              <w:rPr>
                <w:sz w:val="20"/>
              </w:rPr>
              <w:t>FszA</w:t>
            </w:r>
            <w:proofErr w:type="spellEnd"/>
            <w:r w:rsidRPr="00E02E24">
              <w:rPr>
                <w:sz w:val="20"/>
              </w:rPr>
              <w:t xml:space="preserve"> and create strain</w:t>
            </w:r>
          </w:p>
        </w:tc>
        <w:tc>
          <w:tcPr>
            <w:tcW w:w="221" w:type="pct"/>
          </w:tcPr>
          <w:p w:rsidR="00746A87" w:rsidRPr="00E02E24" w:rsidRDefault="00746A87" w:rsidP="00CE1865">
            <w:pPr>
              <w:tabs>
                <w:tab w:val="left" w:pos="0"/>
                <w:tab w:val="left" w:pos="720"/>
              </w:tabs>
              <w:rPr>
                <w:sz w:val="20"/>
              </w:rPr>
            </w:pPr>
          </w:p>
        </w:tc>
        <w:tc>
          <w:tcPr>
            <w:tcW w:w="272" w:type="pct"/>
            <w:tcBorders>
              <w:right w:val="nil"/>
            </w:tcBorders>
            <w:shd w:val="clear" w:color="auto" w:fill="auto"/>
          </w:tcPr>
          <w:p w:rsidR="00746A87" w:rsidRPr="00E02E24" w:rsidRDefault="00746A87" w:rsidP="00CE1865">
            <w:pPr>
              <w:tabs>
                <w:tab w:val="left" w:pos="0"/>
                <w:tab w:val="left" w:pos="720"/>
              </w:tabs>
              <w:rPr>
                <w:sz w:val="20"/>
              </w:rPr>
            </w:pPr>
          </w:p>
        </w:tc>
        <w:tc>
          <w:tcPr>
            <w:tcW w:w="272" w:type="pct"/>
            <w:tcBorders>
              <w:left w:val="nil"/>
            </w:tcBorders>
            <w:shd w:val="clear" w:color="auto" w:fill="000000"/>
          </w:tcPr>
          <w:p w:rsidR="00746A87" w:rsidRPr="00E02E24" w:rsidRDefault="00746A87" w:rsidP="00CE1865">
            <w:pPr>
              <w:tabs>
                <w:tab w:val="left" w:pos="0"/>
                <w:tab w:val="left" w:pos="720"/>
              </w:tabs>
              <w:rPr>
                <w:sz w:val="20"/>
              </w:rPr>
            </w:pPr>
          </w:p>
        </w:tc>
        <w:tc>
          <w:tcPr>
            <w:tcW w:w="272" w:type="pct"/>
            <w:shd w:val="pct95" w:color="auto" w:fill="auto"/>
          </w:tcPr>
          <w:p w:rsidR="00746A87" w:rsidRPr="00E02E24" w:rsidRDefault="00746A87" w:rsidP="00CE1865">
            <w:pPr>
              <w:tabs>
                <w:tab w:val="left" w:pos="0"/>
                <w:tab w:val="left" w:pos="720"/>
              </w:tabs>
              <w:rPr>
                <w:sz w:val="20"/>
              </w:rPr>
            </w:pPr>
          </w:p>
        </w:tc>
        <w:tc>
          <w:tcPr>
            <w:tcW w:w="272" w:type="pct"/>
            <w:shd w:val="pct95" w:color="auto" w:fill="auto"/>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65" w:type="pct"/>
          </w:tcPr>
          <w:p w:rsidR="00746A87" w:rsidRPr="00E02E24" w:rsidRDefault="00746A87" w:rsidP="00CE1865">
            <w:pPr>
              <w:tabs>
                <w:tab w:val="left" w:pos="0"/>
                <w:tab w:val="left" w:pos="720"/>
              </w:tabs>
              <w:rPr>
                <w:sz w:val="20"/>
              </w:rPr>
            </w:pPr>
          </w:p>
        </w:tc>
      </w:tr>
      <w:tr w:rsidR="00746A87" w:rsidTr="00CE1865">
        <w:tc>
          <w:tcPr>
            <w:tcW w:w="1152" w:type="pct"/>
          </w:tcPr>
          <w:p w:rsidR="00746A87" w:rsidRPr="00E02E24" w:rsidRDefault="00746A87" w:rsidP="00CE1865">
            <w:pPr>
              <w:tabs>
                <w:tab w:val="left" w:pos="0"/>
                <w:tab w:val="left" w:pos="720"/>
              </w:tabs>
              <w:rPr>
                <w:sz w:val="20"/>
              </w:rPr>
            </w:pPr>
            <w:r w:rsidRPr="00E02E24">
              <w:rPr>
                <w:sz w:val="20"/>
              </w:rPr>
              <w:t>Microscopy</w:t>
            </w:r>
          </w:p>
        </w:tc>
        <w:tc>
          <w:tcPr>
            <w:tcW w:w="1186" w:type="pct"/>
          </w:tcPr>
          <w:p w:rsidR="00746A87" w:rsidRPr="00E02E24" w:rsidRDefault="00746A87" w:rsidP="00CE1865">
            <w:pPr>
              <w:tabs>
                <w:tab w:val="left" w:pos="0"/>
                <w:tab w:val="left" w:pos="720"/>
              </w:tabs>
              <w:rPr>
                <w:sz w:val="20"/>
              </w:rPr>
            </w:pPr>
            <w:r w:rsidRPr="00E02E24">
              <w:rPr>
                <w:sz w:val="20"/>
              </w:rPr>
              <w:t>Observe dynamics</w:t>
            </w:r>
          </w:p>
        </w:tc>
        <w:tc>
          <w:tcPr>
            <w:tcW w:w="221"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shd w:val="clear" w:color="auto" w:fill="000000"/>
          </w:tcPr>
          <w:p w:rsidR="00746A87" w:rsidRPr="00E02E24" w:rsidRDefault="00746A87" w:rsidP="00CE1865">
            <w:pPr>
              <w:tabs>
                <w:tab w:val="left" w:pos="0"/>
                <w:tab w:val="left" w:pos="720"/>
              </w:tabs>
              <w:rPr>
                <w:sz w:val="20"/>
              </w:rPr>
            </w:pPr>
          </w:p>
        </w:tc>
        <w:tc>
          <w:tcPr>
            <w:tcW w:w="272" w:type="pct"/>
            <w:shd w:val="clear" w:color="auto" w:fill="000000"/>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Borders>
              <w:bottom w:val="single" w:sz="4" w:space="0" w:color="auto"/>
            </w:tcBorders>
          </w:tcPr>
          <w:p w:rsidR="00746A87" w:rsidRPr="00E02E24" w:rsidRDefault="00746A87" w:rsidP="00CE1865">
            <w:pPr>
              <w:tabs>
                <w:tab w:val="left" w:pos="0"/>
                <w:tab w:val="left" w:pos="720"/>
              </w:tabs>
              <w:rPr>
                <w:sz w:val="20"/>
              </w:rPr>
            </w:pPr>
          </w:p>
        </w:tc>
        <w:tc>
          <w:tcPr>
            <w:tcW w:w="265" w:type="pct"/>
            <w:tcBorders>
              <w:bottom w:val="single" w:sz="4" w:space="0" w:color="auto"/>
            </w:tcBorders>
          </w:tcPr>
          <w:p w:rsidR="00746A87" w:rsidRPr="00E02E24" w:rsidRDefault="00746A87" w:rsidP="00CE1865">
            <w:pPr>
              <w:tabs>
                <w:tab w:val="left" w:pos="0"/>
                <w:tab w:val="left" w:pos="720"/>
              </w:tabs>
              <w:rPr>
                <w:sz w:val="20"/>
              </w:rPr>
            </w:pPr>
          </w:p>
        </w:tc>
      </w:tr>
      <w:tr w:rsidR="00746A87" w:rsidTr="00CE1865">
        <w:tc>
          <w:tcPr>
            <w:tcW w:w="1152" w:type="pct"/>
          </w:tcPr>
          <w:p w:rsidR="00746A87" w:rsidRPr="00E02E24" w:rsidRDefault="00746A87" w:rsidP="00CE1865">
            <w:pPr>
              <w:tabs>
                <w:tab w:val="left" w:pos="0"/>
                <w:tab w:val="left" w:pos="720"/>
              </w:tabs>
              <w:rPr>
                <w:sz w:val="20"/>
              </w:rPr>
            </w:pPr>
            <w:r w:rsidRPr="00E02E24">
              <w:rPr>
                <w:sz w:val="20"/>
              </w:rPr>
              <w:t>Co-immunoprecipitation microscopy</w:t>
            </w:r>
          </w:p>
        </w:tc>
        <w:tc>
          <w:tcPr>
            <w:tcW w:w="1186" w:type="pct"/>
          </w:tcPr>
          <w:p w:rsidR="00746A87" w:rsidRPr="00E02E24" w:rsidRDefault="00746A87" w:rsidP="00CE1865">
            <w:pPr>
              <w:tabs>
                <w:tab w:val="left" w:pos="0"/>
                <w:tab w:val="left" w:pos="720"/>
              </w:tabs>
              <w:rPr>
                <w:sz w:val="20"/>
              </w:rPr>
            </w:pPr>
            <w:r w:rsidRPr="00E02E24">
              <w:rPr>
                <w:sz w:val="20"/>
              </w:rPr>
              <w:t>Co-immunoprecipitation and interaction confirmation</w:t>
            </w:r>
          </w:p>
        </w:tc>
        <w:tc>
          <w:tcPr>
            <w:tcW w:w="221" w:type="pct"/>
            <w:tcBorders>
              <w:bottom w:val="single" w:sz="4" w:space="0" w:color="auto"/>
            </w:tcBorders>
          </w:tcPr>
          <w:p w:rsidR="00746A87" w:rsidRPr="00E02E24" w:rsidRDefault="00746A87" w:rsidP="00CE1865">
            <w:pPr>
              <w:tabs>
                <w:tab w:val="left" w:pos="0"/>
                <w:tab w:val="left" w:pos="720"/>
              </w:tabs>
              <w:rPr>
                <w:sz w:val="20"/>
              </w:rPr>
            </w:pPr>
          </w:p>
        </w:tc>
        <w:tc>
          <w:tcPr>
            <w:tcW w:w="272" w:type="pct"/>
            <w:tcBorders>
              <w:bottom w:val="single" w:sz="4" w:space="0" w:color="auto"/>
            </w:tcBorders>
          </w:tcPr>
          <w:p w:rsidR="00746A87" w:rsidRPr="00E02E24" w:rsidRDefault="00746A87" w:rsidP="00CE1865">
            <w:pPr>
              <w:tabs>
                <w:tab w:val="left" w:pos="0"/>
                <w:tab w:val="left" w:pos="720"/>
              </w:tabs>
              <w:rPr>
                <w:sz w:val="20"/>
              </w:rPr>
            </w:pPr>
          </w:p>
        </w:tc>
        <w:tc>
          <w:tcPr>
            <w:tcW w:w="272" w:type="pct"/>
            <w:tcBorders>
              <w:bottom w:val="single" w:sz="4" w:space="0" w:color="auto"/>
            </w:tcBorders>
          </w:tcPr>
          <w:p w:rsidR="00746A87" w:rsidRPr="00E02E24" w:rsidRDefault="00746A87" w:rsidP="00CE1865">
            <w:pPr>
              <w:tabs>
                <w:tab w:val="left" w:pos="0"/>
                <w:tab w:val="left" w:pos="720"/>
              </w:tabs>
              <w:rPr>
                <w:sz w:val="20"/>
              </w:rPr>
            </w:pPr>
          </w:p>
        </w:tc>
        <w:tc>
          <w:tcPr>
            <w:tcW w:w="272" w:type="pct"/>
            <w:tcBorders>
              <w:bottom w:val="single" w:sz="4" w:space="0" w:color="auto"/>
            </w:tcBorders>
          </w:tcPr>
          <w:p w:rsidR="00746A87" w:rsidRPr="00E02E24" w:rsidRDefault="00746A87" w:rsidP="00CE1865">
            <w:pPr>
              <w:tabs>
                <w:tab w:val="left" w:pos="0"/>
                <w:tab w:val="left" w:pos="720"/>
              </w:tabs>
              <w:rPr>
                <w:sz w:val="20"/>
              </w:rPr>
            </w:pPr>
          </w:p>
        </w:tc>
        <w:tc>
          <w:tcPr>
            <w:tcW w:w="272" w:type="pct"/>
            <w:tcBorders>
              <w:bottom w:val="single" w:sz="4" w:space="0" w:color="auto"/>
            </w:tcBorders>
            <w:shd w:val="clear" w:color="auto" w:fill="000000"/>
          </w:tcPr>
          <w:p w:rsidR="00746A87" w:rsidRPr="00E02E24" w:rsidRDefault="00746A87" w:rsidP="00CE1865">
            <w:pPr>
              <w:tabs>
                <w:tab w:val="left" w:pos="0"/>
                <w:tab w:val="left" w:pos="720"/>
              </w:tabs>
              <w:rPr>
                <w:sz w:val="20"/>
              </w:rPr>
            </w:pPr>
          </w:p>
        </w:tc>
        <w:tc>
          <w:tcPr>
            <w:tcW w:w="272" w:type="pct"/>
            <w:tcBorders>
              <w:bottom w:val="single" w:sz="4" w:space="0" w:color="auto"/>
            </w:tcBorders>
            <w:shd w:val="clear" w:color="auto" w:fill="000000"/>
          </w:tcPr>
          <w:p w:rsidR="00746A87" w:rsidRPr="00E02E24" w:rsidRDefault="00746A87" w:rsidP="00CE1865">
            <w:pPr>
              <w:tabs>
                <w:tab w:val="left" w:pos="0"/>
                <w:tab w:val="left" w:pos="720"/>
              </w:tabs>
              <w:rPr>
                <w:sz w:val="20"/>
              </w:rPr>
            </w:pPr>
          </w:p>
        </w:tc>
        <w:tc>
          <w:tcPr>
            <w:tcW w:w="272" w:type="pct"/>
            <w:tcBorders>
              <w:bottom w:val="single" w:sz="4" w:space="0" w:color="auto"/>
            </w:tcBorders>
            <w:shd w:val="clear" w:color="auto" w:fill="000000"/>
          </w:tcPr>
          <w:p w:rsidR="00746A87" w:rsidRPr="00E02E24" w:rsidRDefault="00746A87" w:rsidP="00CE1865">
            <w:pPr>
              <w:tabs>
                <w:tab w:val="left" w:pos="0"/>
                <w:tab w:val="left" w:pos="720"/>
              </w:tabs>
              <w:rPr>
                <w:sz w:val="20"/>
              </w:rPr>
            </w:pPr>
          </w:p>
        </w:tc>
        <w:tc>
          <w:tcPr>
            <w:tcW w:w="272" w:type="pct"/>
            <w:tcBorders>
              <w:bottom w:val="single" w:sz="4" w:space="0" w:color="auto"/>
            </w:tcBorders>
            <w:shd w:val="clear" w:color="auto" w:fill="000000"/>
          </w:tcPr>
          <w:p w:rsidR="00746A87" w:rsidRPr="00E02E24" w:rsidRDefault="00746A87" w:rsidP="00CE1865">
            <w:pPr>
              <w:tabs>
                <w:tab w:val="left" w:pos="0"/>
                <w:tab w:val="left" w:pos="720"/>
              </w:tabs>
              <w:rPr>
                <w:sz w:val="20"/>
              </w:rPr>
            </w:pPr>
          </w:p>
        </w:tc>
        <w:tc>
          <w:tcPr>
            <w:tcW w:w="272" w:type="pct"/>
            <w:tcBorders>
              <w:bottom w:val="single" w:sz="4" w:space="0" w:color="auto"/>
            </w:tcBorders>
            <w:shd w:val="clear" w:color="auto" w:fill="000000"/>
          </w:tcPr>
          <w:p w:rsidR="00746A87" w:rsidRPr="00E02E24" w:rsidRDefault="00746A87" w:rsidP="00CE1865">
            <w:pPr>
              <w:tabs>
                <w:tab w:val="left" w:pos="0"/>
                <w:tab w:val="left" w:pos="720"/>
              </w:tabs>
              <w:rPr>
                <w:sz w:val="20"/>
              </w:rPr>
            </w:pPr>
          </w:p>
        </w:tc>
        <w:tc>
          <w:tcPr>
            <w:tcW w:w="265" w:type="pct"/>
            <w:tcBorders>
              <w:bottom w:val="single" w:sz="4" w:space="0" w:color="auto"/>
            </w:tcBorders>
            <w:shd w:val="clear" w:color="auto" w:fill="000000"/>
          </w:tcPr>
          <w:p w:rsidR="00746A87" w:rsidRPr="00E02E24" w:rsidRDefault="00746A87" w:rsidP="00CE1865">
            <w:pPr>
              <w:tabs>
                <w:tab w:val="left" w:pos="0"/>
                <w:tab w:val="left" w:pos="720"/>
              </w:tabs>
              <w:rPr>
                <w:sz w:val="20"/>
              </w:rPr>
            </w:pPr>
          </w:p>
        </w:tc>
      </w:tr>
      <w:tr w:rsidR="00746A87" w:rsidTr="00CE1865">
        <w:tc>
          <w:tcPr>
            <w:tcW w:w="1152" w:type="pct"/>
          </w:tcPr>
          <w:p w:rsidR="00746A87" w:rsidRPr="00E02E24" w:rsidRDefault="00746A87" w:rsidP="00CE1865">
            <w:pPr>
              <w:tabs>
                <w:tab w:val="left" w:pos="0"/>
                <w:tab w:val="left" w:pos="720"/>
              </w:tabs>
              <w:rPr>
                <w:sz w:val="20"/>
              </w:rPr>
            </w:pPr>
            <w:r w:rsidRPr="00E02E24">
              <w:rPr>
                <w:sz w:val="20"/>
              </w:rPr>
              <w:t>Antibody production</w:t>
            </w:r>
          </w:p>
        </w:tc>
        <w:tc>
          <w:tcPr>
            <w:tcW w:w="1186" w:type="pct"/>
          </w:tcPr>
          <w:p w:rsidR="00746A87" w:rsidRPr="00E02E24" w:rsidRDefault="00746A87" w:rsidP="00CE1865">
            <w:pPr>
              <w:tabs>
                <w:tab w:val="left" w:pos="0"/>
                <w:tab w:val="left" w:pos="720"/>
              </w:tabs>
              <w:rPr>
                <w:sz w:val="20"/>
              </w:rPr>
            </w:pPr>
            <w:r w:rsidRPr="00E02E24">
              <w:rPr>
                <w:sz w:val="20"/>
              </w:rPr>
              <w:t xml:space="preserve">Purify </w:t>
            </w:r>
            <w:proofErr w:type="spellStart"/>
            <w:r w:rsidRPr="00E02E24">
              <w:rPr>
                <w:sz w:val="20"/>
              </w:rPr>
              <w:t>FszA</w:t>
            </w:r>
            <w:proofErr w:type="spellEnd"/>
            <w:r w:rsidRPr="00E02E24">
              <w:rPr>
                <w:sz w:val="20"/>
              </w:rPr>
              <w:t xml:space="preserve"> protein</w:t>
            </w:r>
          </w:p>
        </w:tc>
        <w:tc>
          <w:tcPr>
            <w:tcW w:w="221" w:type="pct"/>
            <w:shd w:val="pct95" w:color="auto" w:fill="auto"/>
          </w:tcPr>
          <w:p w:rsidR="00746A87" w:rsidRPr="00E02E24" w:rsidRDefault="00746A87" w:rsidP="00CE1865">
            <w:pPr>
              <w:tabs>
                <w:tab w:val="left" w:pos="0"/>
                <w:tab w:val="left" w:pos="720"/>
              </w:tabs>
              <w:rPr>
                <w:sz w:val="20"/>
              </w:rPr>
            </w:pPr>
          </w:p>
        </w:tc>
        <w:tc>
          <w:tcPr>
            <w:tcW w:w="272" w:type="pct"/>
            <w:shd w:val="pct95" w:color="auto" w:fill="auto"/>
          </w:tcPr>
          <w:p w:rsidR="00746A87" w:rsidRPr="00E02E24" w:rsidRDefault="00746A87" w:rsidP="00CE1865">
            <w:pPr>
              <w:tabs>
                <w:tab w:val="left" w:pos="0"/>
                <w:tab w:val="left" w:pos="720"/>
              </w:tabs>
              <w:rPr>
                <w:sz w:val="20"/>
              </w:rPr>
            </w:pPr>
          </w:p>
        </w:tc>
        <w:tc>
          <w:tcPr>
            <w:tcW w:w="272" w:type="pct"/>
            <w:shd w:val="pct95" w:color="auto" w:fill="auto"/>
          </w:tcPr>
          <w:p w:rsidR="00746A87" w:rsidRPr="00E02E24" w:rsidRDefault="00746A87" w:rsidP="00CE1865">
            <w:pPr>
              <w:tabs>
                <w:tab w:val="left" w:pos="0"/>
                <w:tab w:val="left" w:pos="720"/>
              </w:tabs>
              <w:rPr>
                <w:sz w:val="20"/>
              </w:rPr>
            </w:pPr>
          </w:p>
        </w:tc>
        <w:tc>
          <w:tcPr>
            <w:tcW w:w="272" w:type="pct"/>
            <w:shd w:val="pct95" w:color="auto" w:fill="auto"/>
          </w:tcPr>
          <w:p w:rsidR="00746A87" w:rsidRPr="00E02E24" w:rsidRDefault="00746A87" w:rsidP="00CE1865">
            <w:pPr>
              <w:tabs>
                <w:tab w:val="left" w:pos="0"/>
                <w:tab w:val="left" w:pos="720"/>
              </w:tabs>
              <w:rPr>
                <w:sz w:val="20"/>
              </w:rPr>
            </w:pPr>
          </w:p>
        </w:tc>
        <w:tc>
          <w:tcPr>
            <w:tcW w:w="272" w:type="pct"/>
            <w:shd w:val="pct95" w:color="auto" w:fill="auto"/>
          </w:tcPr>
          <w:p w:rsidR="00746A87" w:rsidRPr="00E02E24" w:rsidRDefault="00746A87" w:rsidP="00CE1865">
            <w:pPr>
              <w:tabs>
                <w:tab w:val="left" w:pos="0"/>
                <w:tab w:val="left" w:pos="720"/>
              </w:tabs>
              <w:rPr>
                <w:sz w:val="20"/>
              </w:rPr>
            </w:pPr>
          </w:p>
        </w:tc>
        <w:tc>
          <w:tcPr>
            <w:tcW w:w="272" w:type="pct"/>
            <w:tcBorders>
              <w:bottom w:val="single" w:sz="4" w:space="0" w:color="auto"/>
            </w:tcBorders>
            <w:shd w:val="clear" w:color="auto" w:fill="auto"/>
          </w:tcPr>
          <w:p w:rsidR="00746A87" w:rsidRPr="00E02E24" w:rsidRDefault="00746A87" w:rsidP="00CE1865">
            <w:pPr>
              <w:tabs>
                <w:tab w:val="left" w:pos="0"/>
                <w:tab w:val="left" w:pos="720"/>
              </w:tabs>
              <w:rPr>
                <w:sz w:val="20"/>
              </w:rPr>
            </w:pPr>
          </w:p>
        </w:tc>
        <w:tc>
          <w:tcPr>
            <w:tcW w:w="272" w:type="pct"/>
            <w:tcBorders>
              <w:bottom w:val="single" w:sz="4" w:space="0" w:color="auto"/>
            </w:tcBorders>
            <w:shd w:val="clear" w:color="auto" w:fill="auto"/>
          </w:tcPr>
          <w:p w:rsidR="00746A87" w:rsidRPr="00E02E24" w:rsidRDefault="00746A87" w:rsidP="00CE1865">
            <w:pPr>
              <w:tabs>
                <w:tab w:val="left" w:pos="0"/>
                <w:tab w:val="left" w:pos="720"/>
              </w:tabs>
              <w:rPr>
                <w:sz w:val="20"/>
              </w:rPr>
            </w:pPr>
          </w:p>
        </w:tc>
        <w:tc>
          <w:tcPr>
            <w:tcW w:w="272" w:type="pct"/>
            <w:tcBorders>
              <w:bottom w:val="single" w:sz="4" w:space="0" w:color="auto"/>
            </w:tcBorders>
            <w:shd w:val="clear" w:color="auto" w:fill="auto"/>
          </w:tcPr>
          <w:p w:rsidR="00746A87" w:rsidRPr="00E02E24" w:rsidRDefault="00746A87" w:rsidP="00CE1865">
            <w:pPr>
              <w:tabs>
                <w:tab w:val="left" w:pos="0"/>
                <w:tab w:val="left" w:pos="720"/>
              </w:tabs>
              <w:rPr>
                <w:sz w:val="20"/>
              </w:rPr>
            </w:pPr>
          </w:p>
        </w:tc>
        <w:tc>
          <w:tcPr>
            <w:tcW w:w="272" w:type="pct"/>
            <w:tcBorders>
              <w:bottom w:val="single" w:sz="4" w:space="0" w:color="auto"/>
            </w:tcBorders>
            <w:shd w:val="clear" w:color="auto" w:fill="auto"/>
          </w:tcPr>
          <w:p w:rsidR="00746A87" w:rsidRPr="00E02E24" w:rsidRDefault="00746A87" w:rsidP="00CE1865">
            <w:pPr>
              <w:tabs>
                <w:tab w:val="left" w:pos="0"/>
                <w:tab w:val="left" w:pos="720"/>
              </w:tabs>
              <w:rPr>
                <w:sz w:val="20"/>
              </w:rPr>
            </w:pPr>
          </w:p>
        </w:tc>
        <w:tc>
          <w:tcPr>
            <w:tcW w:w="265" w:type="pct"/>
            <w:tcBorders>
              <w:bottom w:val="single" w:sz="4" w:space="0" w:color="auto"/>
            </w:tcBorders>
            <w:shd w:val="clear" w:color="auto" w:fill="auto"/>
          </w:tcPr>
          <w:p w:rsidR="00746A87" w:rsidRPr="00E02E24" w:rsidRDefault="00746A87" w:rsidP="00CE1865">
            <w:pPr>
              <w:tabs>
                <w:tab w:val="left" w:pos="0"/>
                <w:tab w:val="left" w:pos="720"/>
              </w:tabs>
              <w:rPr>
                <w:sz w:val="20"/>
              </w:rPr>
            </w:pPr>
          </w:p>
        </w:tc>
      </w:tr>
      <w:tr w:rsidR="00746A87" w:rsidTr="00CE1865">
        <w:tc>
          <w:tcPr>
            <w:tcW w:w="1152" w:type="pct"/>
          </w:tcPr>
          <w:p w:rsidR="00746A87" w:rsidRPr="00E02E24" w:rsidRDefault="00746A87" w:rsidP="00CE1865">
            <w:pPr>
              <w:tabs>
                <w:tab w:val="left" w:pos="0"/>
                <w:tab w:val="left" w:pos="720"/>
              </w:tabs>
              <w:rPr>
                <w:sz w:val="20"/>
              </w:rPr>
            </w:pPr>
            <w:r w:rsidRPr="00E02E24">
              <w:rPr>
                <w:sz w:val="20"/>
              </w:rPr>
              <w:t>Antibody production</w:t>
            </w:r>
          </w:p>
        </w:tc>
        <w:tc>
          <w:tcPr>
            <w:tcW w:w="1186" w:type="pct"/>
          </w:tcPr>
          <w:p w:rsidR="00746A87" w:rsidRPr="00E02E24" w:rsidRDefault="00746A87" w:rsidP="00CE1865">
            <w:pPr>
              <w:tabs>
                <w:tab w:val="left" w:pos="0"/>
                <w:tab w:val="left" w:pos="720"/>
              </w:tabs>
              <w:rPr>
                <w:sz w:val="20"/>
              </w:rPr>
            </w:pPr>
            <w:r w:rsidRPr="00E02E24">
              <w:rPr>
                <w:sz w:val="20"/>
              </w:rPr>
              <w:t>Create and screen for antibodies</w:t>
            </w:r>
          </w:p>
        </w:tc>
        <w:tc>
          <w:tcPr>
            <w:tcW w:w="221"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tcPr>
          <w:p w:rsidR="00746A87" w:rsidRPr="00E02E24" w:rsidRDefault="00746A87" w:rsidP="00CE1865">
            <w:pPr>
              <w:tabs>
                <w:tab w:val="left" w:pos="0"/>
                <w:tab w:val="left" w:pos="720"/>
              </w:tabs>
              <w:rPr>
                <w:sz w:val="20"/>
              </w:rPr>
            </w:pPr>
          </w:p>
        </w:tc>
        <w:tc>
          <w:tcPr>
            <w:tcW w:w="272" w:type="pct"/>
            <w:shd w:val="pct95" w:color="auto" w:fill="auto"/>
          </w:tcPr>
          <w:p w:rsidR="00746A87" w:rsidRPr="00E02E24" w:rsidRDefault="00746A87" w:rsidP="00CE1865">
            <w:pPr>
              <w:tabs>
                <w:tab w:val="left" w:pos="0"/>
                <w:tab w:val="left" w:pos="720"/>
              </w:tabs>
              <w:rPr>
                <w:sz w:val="20"/>
              </w:rPr>
            </w:pPr>
          </w:p>
        </w:tc>
        <w:tc>
          <w:tcPr>
            <w:tcW w:w="272" w:type="pct"/>
            <w:shd w:val="pct95" w:color="auto" w:fill="auto"/>
          </w:tcPr>
          <w:p w:rsidR="00746A87" w:rsidRPr="00E02E24" w:rsidRDefault="00746A87" w:rsidP="00CE1865">
            <w:pPr>
              <w:tabs>
                <w:tab w:val="left" w:pos="0"/>
                <w:tab w:val="left" w:pos="720"/>
              </w:tabs>
              <w:rPr>
                <w:sz w:val="20"/>
              </w:rPr>
            </w:pPr>
          </w:p>
        </w:tc>
        <w:tc>
          <w:tcPr>
            <w:tcW w:w="272" w:type="pct"/>
            <w:shd w:val="pct95" w:color="auto" w:fill="auto"/>
          </w:tcPr>
          <w:p w:rsidR="00746A87" w:rsidRPr="00E02E24" w:rsidRDefault="00746A87" w:rsidP="00CE1865">
            <w:pPr>
              <w:tabs>
                <w:tab w:val="left" w:pos="0"/>
                <w:tab w:val="left" w:pos="720"/>
              </w:tabs>
              <w:rPr>
                <w:sz w:val="20"/>
              </w:rPr>
            </w:pPr>
          </w:p>
        </w:tc>
        <w:tc>
          <w:tcPr>
            <w:tcW w:w="272" w:type="pct"/>
            <w:shd w:val="clear" w:color="auto" w:fill="auto"/>
          </w:tcPr>
          <w:p w:rsidR="00746A87" w:rsidRPr="00E02E24" w:rsidRDefault="00746A87" w:rsidP="00CE1865">
            <w:pPr>
              <w:tabs>
                <w:tab w:val="left" w:pos="0"/>
                <w:tab w:val="left" w:pos="720"/>
              </w:tabs>
              <w:rPr>
                <w:sz w:val="20"/>
              </w:rPr>
            </w:pPr>
          </w:p>
        </w:tc>
        <w:tc>
          <w:tcPr>
            <w:tcW w:w="265" w:type="pct"/>
            <w:shd w:val="clear" w:color="auto" w:fill="auto"/>
          </w:tcPr>
          <w:p w:rsidR="00746A87" w:rsidRPr="00E02E24" w:rsidRDefault="00746A87" w:rsidP="00CE1865">
            <w:pPr>
              <w:tabs>
                <w:tab w:val="left" w:pos="0"/>
                <w:tab w:val="left" w:pos="720"/>
              </w:tabs>
              <w:rPr>
                <w:sz w:val="20"/>
              </w:rPr>
            </w:pPr>
          </w:p>
        </w:tc>
      </w:tr>
    </w:tbl>
    <w:p w:rsidR="00746A87" w:rsidRDefault="00746A87" w:rsidP="00746A87">
      <w:pPr>
        <w:pStyle w:val="Heading1"/>
        <w:spacing w:before="120"/>
      </w:pPr>
      <w:r>
        <w:t>Travel</w:t>
      </w:r>
    </w:p>
    <w:p w:rsidR="00746A87" w:rsidRDefault="00746A87" w:rsidP="00746A87">
      <w:pPr>
        <w:pStyle w:val="text"/>
      </w:pPr>
      <w:r>
        <w:t xml:space="preserve">Travel funds in the amount of $8,500 are requested for the Project Leader to attend the National IDeA conference in Washington, DC, in Years 1, 3, and 5 and for a student to travel in Years 1 and 5 (5 trips x $1,700/person). </w:t>
      </w:r>
    </w:p>
    <w:p w:rsidR="00746A87" w:rsidRDefault="00746A87" w:rsidP="00746A87">
      <w:pPr>
        <w:pStyle w:val="text"/>
      </w:pPr>
      <w:r>
        <w:t xml:space="preserve">Travel funds are requested for two trips for the Project Leader and one student to travel to the Regional IDeA conferences in Years 2 and 4 (2 trips x $1,000/person x 2 people = $4,000). </w:t>
      </w:r>
    </w:p>
    <w:p w:rsidR="00746A87" w:rsidRDefault="00746A87" w:rsidP="00746A87">
      <w:pPr>
        <w:pStyle w:val="text"/>
      </w:pPr>
      <w:r>
        <w:t xml:space="preserve">For the Project Leader and two students to attend annual meetings of American Society of Cell Biology (ASCB) or American Society of Microbiology (ASM), funds in the amount of $12,500 are requested (5 trips x </w:t>
      </w:r>
      <w:r>
        <w:lastRenderedPageBreak/>
        <w:t xml:space="preserve">$1,500/project leader and 5 trips x $500/student x 2 students); the conference will be chosen based on conference agenda, our research to present, and interests of the students. For example, a current student is interested in pursuing a PhD in microbiology, so we would choose to go to the ASM conference this year. </w:t>
      </w:r>
    </w:p>
    <w:p w:rsidR="00746A87" w:rsidRDefault="00746A87" w:rsidP="00746A87">
      <w:pPr>
        <w:pStyle w:val="text"/>
      </w:pPr>
      <w:r>
        <w:t>In addition, $250 ($50/year x 5 years) is requested for mileage and parking to visit the mentor’s laboratory at the University of Arkansas for Medical Sciences in Little Rock, AR.</w:t>
      </w:r>
    </w:p>
    <w:p w:rsidR="00746A87" w:rsidRDefault="00746A87" w:rsidP="00746A87">
      <w:pPr>
        <w:pStyle w:val="Heading1"/>
      </w:pPr>
      <w:r>
        <w:t>Patient Care Costs</w:t>
      </w:r>
    </w:p>
    <w:p w:rsidR="00746A87" w:rsidRDefault="00746A87" w:rsidP="00746A87">
      <w:pPr>
        <w:pStyle w:val="text"/>
      </w:pPr>
      <w:r>
        <w:t>Not applicable</w:t>
      </w:r>
    </w:p>
    <w:p w:rsidR="00746A87" w:rsidRDefault="00746A87" w:rsidP="00746A87">
      <w:pPr>
        <w:pStyle w:val="Heading1"/>
      </w:pPr>
      <w:r>
        <w:t>Alterations &amp; Renovations</w:t>
      </w:r>
    </w:p>
    <w:p w:rsidR="00746A87" w:rsidRDefault="00746A87" w:rsidP="00746A87">
      <w:pPr>
        <w:pStyle w:val="text"/>
      </w:pPr>
      <w:r>
        <w:t>Not applicable</w:t>
      </w:r>
    </w:p>
    <w:p w:rsidR="00746A87" w:rsidRDefault="00746A87" w:rsidP="00746A87">
      <w:pPr>
        <w:pStyle w:val="Heading1"/>
      </w:pPr>
      <w:r>
        <w:t>Other Expenses</w:t>
      </w:r>
    </w:p>
    <w:p w:rsidR="00746A87" w:rsidRDefault="00746A87" w:rsidP="00746A87">
      <w:pPr>
        <w:pStyle w:val="text"/>
      </w:pPr>
      <w:proofErr w:type="gramStart"/>
      <w:r w:rsidRPr="00D0278E">
        <w:rPr>
          <w:b/>
        </w:rPr>
        <w:t xml:space="preserve">Use </w:t>
      </w:r>
      <w:r>
        <w:rPr>
          <w:b/>
        </w:rPr>
        <w:t>of c</w:t>
      </w:r>
      <w:r w:rsidRPr="00D0278E">
        <w:rPr>
          <w:b/>
        </w:rPr>
        <w:t>onfocal</w:t>
      </w:r>
      <w:r>
        <w:rPr>
          <w:b/>
        </w:rPr>
        <w:t xml:space="preserve"> microscope.</w:t>
      </w:r>
      <w:proofErr w:type="gramEnd"/>
      <w:r>
        <w:t xml:space="preserve"> Funding is requested to cover the cost of using the confocal microscope. In lieu of paying hourly use fees, we will pay a portion of the annual service contract for Years 1–4 ($6,667). Our use of the confocal microscope will be greatly diminished</w:t>
      </w:r>
      <w:r w:rsidRPr="003732C3">
        <w:t xml:space="preserve"> </w:t>
      </w:r>
      <w:r>
        <w:t xml:space="preserve">in Year 5, so we will contribute $500 to the service contract. An alternative to paying the service contract would be to purchase necessary software such as deconvolution software. Preliminary data suggest that, due to low signal in this experimental system, we may need to increase sensitivity by opening the pinhole and using deconvolution software to treat our laser confocal microscope as a wide-field scope. Before purchasing deconvolution software, however, we will first explore all alternatives to improve image quality, including working with Zeiss </w:t>
      </w:r>
      <w:r w:rsidRPr="005B50E3">
        <w:t>and the INBRE-supported Digital Microscopy Facility.</w:t>
      </w:r>
      <w:r>
        <w:t xml:space="preserve"> </w:t>
      </w:r>
    </w:p>
    <w:p w:rsidR="00746A87" w:rsidRDefault="00746A87" w:rsidP="00746A87">
      <w:pPr>
        <w:pStyle w:val="text"/>
      </w:pPr>
      <w:proofErr w:type="gramStart"/>
      <w:r w:rsidRPr="005E0A4D">
        <w:rPr>
          <w:b/>
        </w:rPr>
        <w:t>Antibody production</w:t>
      </w:r>
      <w:r>
        <w:rPr>
          <w:b/>
        </w:rPr>
        <w:t>.</w:t>
      </w:r>
      <w:proofErr w:type="gramEnd"/>
      <w:r w:rsidRPr="005E0A4D">
        <w:rPr>
          <w:b/>
        </w:rPr>
        <w:t xml:space="preserve"> </w:t>
      </w:r>
      <w:r w:rsidRPr="005E0A4D">
        <w:t xml:space="preserve">Ultimately these experiments will require the use of antibodies directed to </w:t>
      </w:r>
      <w:proofErr w:type="spellStart"/>
      <w:r w:rsidRPr="005E0A4D">
        <w:t>FszA</w:t>
      </w:r>
      <w:proofErr w:type="spellEnd"/>
      <w:r w:rsidRPr="005E0A4D">
        <w:t>.</w:t>
      </w:r>
      <w:r>
        <w:t xml:space="preserve"> </w:t>
      </w:r>
      <w:r w:rsidRPr="005E0A4D">
        <w:t>If it becomes unfeasible to create these first and then perform the experiments, the work will be done simultaneously using TAP or FLAG Tags for protein pull down</w:t>
      </w:r>
      <w:r>
        <w:t xml:space="preserve"> assay</w:t>
      </w:r>
      <w:r w:rsidRPr="005E0A4D">
        <w:t>s rather than co-immunoprecipitations.</w:t>
      </w:r>
      <w:r>
        <w:t xml:space="preserve"> </w:t>
      </w:r>
      <w:r w:rsidRPr="005E0A4D">
        <w:t>For production of protein and antibodies</w:t>
      </w:r>
      <w:r>
        <w:t>, we request</w:t>
      </w:r>
      <w:r w:rsidRPr="005E0A4D">
        <w:t xml:space="preserve"> $500 in </w:t>
      </w:r>
      <w:r>
        <w:t>Y</w:t>
      </w:r>
      <w:r w:rsidRPr="005E0A4D">
        <w:t>ear</w:t>
      </w:r>
      <w:r>
        <w:t>s</w:t>
      </w:r>
      <w:r w:rsidRPr="005E0A4D">
        <w:t xml:space="preserve"> 1</w:t>
      </w:r>
      <w:r>
        <w:t>–</w:t>
      </w:r>
      <w:r w:rsidRPr="005E0A4D">
        <w:t>2 for cloning and protein purification</w:t>
      </w:r>
      <w:r>
        <w:t xml:space="preserve">, </w:t>
      </w:r>
      <w:r w:rsidRPr="005E0A4D">
        <w:t xml:space="preserve">$2,000 in </w:t>
      </w:r>
      <w:r>
        <w:t>Y</w:t>
      </w:r>
      <w:r w:rsidRPr="005E0A4D">
        <w:t>ear 3 to increase the yield of protei</w:t>
      </w:r>
      <w:r>
        <w:t>n and begin antibody production,</w:t>
      </w:r>
      <w:r w:rsidRPr="005E0A4D">
        <w:t xml:space="preserve"> </w:t>
      </w:r>
      <w:r>
        <w:t xml:space="preserve">and </w:t>
      </w:r>
      <w:r w:rsidRPr="005E0A4D">
        <w:t xml:space="preserve">$1,000 in </w:t>
      </w:r>
      <w:r>
        <w:t>Y</w:t>
      </w:r>
      <w:r w:rsidRPr="005E0A4D">
        <w:t>ear 4 to finish antibody production and testing</w:t>
      </w:r>
      <w:r>
        <w:t xml:space="preserve"> (total </w:t>
      </w:r>
      <w:r w:rsidRPr="005E0A4D">
        <w:t xml:space="preserve">requested amount </w:t>
      </w:r>
      <w:r>
        <w:t>is</w:t>
      </w:r>
      <w:r w:rsidRPr="005E0A4D">
        <w:t xml:space="preserve"> $4,000</w:t>
      </w:r>
      <w:r>
        <w:t>)</w:t>
      </w:r>
      <w:r w:rsidRPr="005E0A4D">
        <w:t>.</w:t>
      </w:r>
      <w:r>
        <w:t xml:space="preserve"> </w:t>
      </w:r>
    </w:p>
    <w:p w:rsidR="00746A87" w:rsidRDefault="00746A87" w:rsidP="00746A87">
      <w:pPr>
        <w:pStyle w:val="text"/>
      </w:pPr>
      <w:proofErr w:type="gramStart"/>
      <w:r w:rsidRPr="00D0278E">
        <w:rPr>
          <w:b/>
        </w:rPr>
        <w:t>Equipment maintenance</w:t>
      </w:r>
      <w:r>
        <w:rPr>
          <w:b/>
        </w:rPr>
        <w:t>.</w:t>
      </w:r>
      <w:proofErr w:type="gramEnd"/>
      <w:r>
        <w:t xml:space="preserve"> Funding in the amount of $200 per year is requested for annual equipment maintenance to repair, replace, and maintain equipment that will be used during this funding period. </w:t>
      </w:r>
    </w:p>
    <w:p w:rsidR="00746A87" w:rsidRDefault="00746A87" w:rsidP="00746A87">
      <w:pPr>
        <w:pStyle w:val="text"/>
      </w:pPr>
      <w:r w:rsidRPr="00D0278E">
        <w:rPr>
          <w:b/>
        </w:rPr>
        <w:t>Publication costs</w:t>
      </w:r>
      <w:r>
        <w:rPr>
          <w:b/>
        </w:rPr>
        <w:t>.</w:t>
      </w:r>
      <w:r>
        <w:t xml:space="preserve"> In Years 4 and 5, $500 is requested for publication costs. </w:t>
      </w:r>
    </w:p>
    <w:p w:rsidR="00746A87" w:rsidRDefault="00746A87" w:rsidP="00746A87">
      <w:pPr>
        <w:pStyle w:val="text"/>
      </w:pPr>
      <w:proofErr w:type="gramStart"/>
      <w:r w:rsidRPr="00D0278E">
        <w:rPr>
          <w:b/>
        </w:rPr>
        <w:t xml:space="preserve">Mass </w:t>
      </w:r>
      <w:r>
        <w:rPr>
          <w:b/>
        </w:rPr>
        <w:t>s</w:t>
      </w:r>
      <w:r w:rsidRPr="00D0278E">
        <w:rPr>
          <w:b/>
        </w:rPr>
        <w:t>pectrometry</w:t>
      </w:r>
      <w:r>
        <w:rPr>
          <w:b/>
        </w:rPr>
        <w:t>.</w:t>
      </w:r>
      <w:proofErr w:type="gramEnd"/>
      <w:r>
        <w:t xml:space="preserve"> In Year 5, $5,000 is requested for the mass spectrometry experiments described in Aim 2 (to be conducted in the INBRE-supported Proteomics Facility at UAMS). The current cost of mass spectrometry is $2,500 per experiment, which includes experimental and control reactions. To repeat the experiment at least once, $5,000 is requested. </w:t>
      </w:r>
    </w:p>
    <w:p w:rsidR="00746A87" w:rsidRDefault="00746A87" w:rsidP="00746A87">
      <w:pPr>
        <w:pStyle w:val="Heading1"/>
      </w:pPr>
      <w:r>
        <w:t>Consortium/Contractual Costs</w:t>
      </w:r>
    </w:p>
    <w:p w:rsidR="00746A87" w:rsidRDefault="00746A87" w:rsidP="00746A87">
      <w:pPr>
        <w:pStyle w:val="text"/>
      </w:pPr>
      <w:r>
        <w:t>Not applicable</w:t>
      </w:r>
    </w:p>
    <w:p w:rsidR="00C72682" w:rsidRDefault="00C72682"/>
    <w:sectPr w:rsidR="00C72682" w:rsidSect="00746A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1DCC"/>
    <w:multiLevelType w:val="hybridMultilevel"/>
    <w:tmpl w:val="9516E2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393541"/>
    <w:multiLevelType w:val="hybridMultilevel"/>
    <w:tmpl w:val="54AEF7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3FB0CEE"/>
    <w:multiLevelType w:val="hybridMultilevel"/>
    <w:tmpl w:val="5556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87"/>
    <w:rsid w:val="0000407C"/>
    <w:rsid w:val="00011B15"/>
    <w:rsid w:val="00015974"/>
    <w:rsid w:val="00022F2E"/>
    <w:rsid w:val="00027242"/>
    <w:rsid w:val="0003081F"/>
    <w:rsid w:val="00043771"/>
    <w:rsid w:val="00062629"/>
    <w:rsid w:val="00077767"/>
    <w:rsid w:val="00077A14"/>
    <w:rsid w:val="00083816"/>
    <w:rsid w:val="00085643"/>
    <w:rsid w:val="000977A2"/>
    <w:rsid w:val="000A07F2"/>
    <w:rsid w:val="000A2FDF"/>
    <w:rsid w:val="000A4A1C"/>
    <w:rsid w:val="000B0411"/>
    <w:rsid w:val="000B3A3B"/>
    <w:rsid w:val="000C0505"/>
    <w:rsid w:val="000D20A8"/>
    <w:rsid w:val="000D27D5"/>
    <w:rsid w:val="000D747A"/>
    <w:rsid w:val="000F13F9"/>
    <w:rsid w:val="000F7A08"/>
    <w:rsid w:val="000F7C14"/>
    <w:rsid w:val="001002C5"/>
    <w:rsid w:val="001263E6"/>
    <w:rsid w:val="001342EB"/>
    <w:rsid w:val="00146505"/>
    <w:rsid w:val="001543DC"/>
    <w:rsid w:val="0015685F"/>
    <w:rsid w:val="0015793D"/>
    <w:rsid w:val="00162D36"/>
    <w:rsid w:val="00170FAD"/>
    <w:rsid w:val="00175D43"/>
    <w:rsid w:val="0019399A"/>
    <w:rsid w:val="00195C23"/>
    <w:rsid w:val="001A00AF"/>
    <w:rsid w:val="001A7433"/>
    <w:rsid w:val="001B25F2"/>
    <w:rsid w:val="001B26BF"/>
    <w:rsid w:val="001C37F1"/>
    <w:rsid w:val="001C7951"/>
    <w:rsid w:val="001D0FA4"/>
    <w:rsid w:val="001D6722"/>
    <w:rsid w:val="001D7AF1"/>
    <w:rsid w:val="001E5765"/>
    <w:rsid w:val="001E6CDE"/>
    <w:rsid w:val="001F1B5D"/>
    <w:rsid w:val="001F5E96"/>
    <w:rsid w:val="001F7EB4"/>
    <w:rsid w:val="0020011B"/>
    <w:rsid w:val="00210B08"/>
    <w:rsid w:val="00230453"/>
    <w:rsid w:val="002309BC"/>
    <w:rsid w:val="002317D9"/>
    <w:rsid w:val="00231BEC"/>
    <w:rsid w:val="00235CE6"/>
    <w:rsid w:val="00241EFB"/>
    <w:rsid w:val="00244AE7"/>
    <w:rsid w:val="00271F15"/>
    <w:rsid w:val="00275532"/>
    <w:rsid w:val="00282CD5"/>
    <w:rsid w:val="00285AE5"/>
    <w:rsid w:val="0028721B"/>
    <w:rsid w:val="00287748"/>
    <w:rsid w:val="002924C2"/>
    <w:rsid w:val="0029761F"/>
    <w:rsid w:val="002B347A"/>
    <w:rsid w:val="002B68C3"/>
    <w:rsid w:val="002B6FE0"/>
    <w:rsid w:val="002D232D"/>
    <w:rsid w:val="002E1E6B"/>
    <w:rsid w:val="002E42DA"/>
    <w:rsid w:val="002E76B3"/>
    <w:rsid w:val="003076F0"/>
    <w:rsid w:val="003177EB"/>
    <w:rsid w:val="00330FF7"/>
    <w:rsid w:val="00336E31"/>
    <w:rsid w:val="00342444"/>
    <w:rsid w:val="00343507"/>
    <w:rsid w:val="0035514F"/>
    <w:rsid w:val="0036334B"/>
    <w:rsid w:val="0036468C"/>
    <w:rsid w:val="003678BE"/>
    <w:rsid w:val="00374F60"/>
    <w:rsid w:val="00385BEF"/>
    <w:rsid w:val="0038747E"/>
    <w:rsid w:val="003A62E2"/>
    <w:rsid w:val="003A746D"/>
    <w:rsid w:val="003B6B1B"/>
    <w:rsid w:val="003C3985"/>
    <w:rsid w:val="003D3689"/>
    <w:rsid w:val="003D5515"/>
    <w:rsid w:val="003D79E1"/>
    <w:rsid w:val="003E26E6"/>
    <w:rsid w:val="003E674A"/>
    <w:rsid w:val="003F04E2"/>
    <w:rsid w:val="003F1618"/>
    <w:rsid w:val="003F2505"/>
    <w:rsid w:val="00401B4B"/>
    <w:rsid w:val="004113B4"/>
    <w:rsid w:val="00411734"/>
    <w:rsid w:val="00412C89"/>
    <w:rsid w:val="0042331B"/>
    <w:rsid w:val="00431D69"/>
    <w:rsid w:val="00466529"/>
    <w:rsid w:val="0047162D"/>
    <w:rsid w:val="0047582C"/>
    <w:rsid w:val="00484635"/>
    <w:rsid w:val="0048767D"/>
    <w:rsid w:val="00490E22"/>
    <w:rsid w:val="004A1086"/>
    <w:rsid w:val="004A1E1F"/>
    <w:rsid w:val="004B4BC2"/>
    <w:rsid w:val="004B5F55"/>
    <w:rsid w:val="004C71CD"/>
    <w:rsid w:val="004D4915"/>
    <w:rsid w:val="004E1333"/>
    <w:rsid w:val="004E2BFD"/>
    <w:rsid w:val="004F507A"/>
    <w:rsid w:val="0050325A"/>
    <w:rsid w:val="0050557F"/>
    <w:rsid w:val="00514F2A"/>
    <w:rsid w:val="00520228"/>
    <w:rsid w:val="0055201E"/>
    <w:rsid w:val="00556E26"/>
    <w:rsid w:val="00557EA8"/>
    <w:rsid w:val="00567FAF"/>
    <w:rsid w:val="00570CF6"/>
    <w:rsid w:val="0057781F"/>
    <w:rsid w:val="00585FBD"/>
    <w:rsid w:val="0058727D"/>
    <w:rsid w:val="00593378"/>
    <w:rsid w:val="00596FBB"/>
    <w:rsid w:val="005A7D79"/>
    <w:rsid w:val="005B2D72"/>
    <w:rsid w:val="005B6F69"/>
    <w:rsid w:val="005C1742"/>
    <w:rsid w:val="005C3A8E"/>
    <w:rsid w:val="005C4B38"/>
    <w:rsid w:val="005E2AEF"/>
    <w:rsid w:val="005F17E0"/>
    <w:rsid w:val="005F6083"/>
    <w:rsid w:val="005F6CEC"/>
    <w:rsid w:val="0060015B"/>
    <w:rsid w:val="006035DC"/>
    <w:rsid w:val="006054A4"/>
    <w:rsid w:val="00606816"/>
    <w:rsid w:val="00612A56"/>
    <w:rsid w:val="00621B18"/>
    <w:rsid w:val="00622086"/>
    <w:rsid w:val="006221E0"/>
    <w:rsid w:val="00623940"/>
    <w:rsid w:val="00636131"/>
    <w:rsid w:val="006368D5"/>
    <w:rsid w:val="00650736"/>
    <w:rsid w:val="00652F20"/>
    <w:rsid w:val="006646EF"/>
    <w:rsid w:val="00671453"/>
    <w:rsid w:val="006755DC"/>
    <w:rsid w:val="00680B93"/>
    <w:rsid w:val="00681AA0"/>
    <w:rsid w:val="00683A82"/>
    <w:rsid w:val="0068509D"/>
    <w:rsid w:val="00686F4C"/>
    <w:rsid w:val="00690509"/>
    <w:rsid w:val="00692986"/>
    <w:rsid w:val="00693C65"/>
    <w:rsid w:val="006B4BDD"/>
    <w:rsid w:val="006C1AD8"/>
    <w:rsid w:val="006D24BC"/>
    <w:rsid w:val="006D3F77"/>
    <w:rsid w:val="006D4AB8"/>
    <w:rsid w:val="006D4EAF"/>
    <w:rsid w:val="006D59B1"/>
    <w:rsid w:val="006F1008"/>
    <w:rsid w:val="006F1A09"/>
    <w:rsid w:val="006F7E74"/>
    <w:rsid w:val="00707534"/>
    <w:rsid w:val="00717FF0"/>
    <w:rsid w:val="00721F43"/>
    <w:rsid w:val="00733080"/>
    <w:rsid w:val="00737807"/>
    <w:rsid w:val="00746A87"/>
    <w:rsid w:val="00752211"/>
    <w:rsid w:val="00760F31"/>
    <w:rsid w:val="00761530"/>
    <w:rsid w:val="00772962"/>
    <w:rsid w:val="00776738"/>
    <w:rsid w:val="007800B8"/>
    <w:rsid w:val="00781EB1"/>
    <w:rsid w:val="00783547"/>
    <w:rsid w:val="00783F02"/>
    <w:rsid w:val="00792D99"/>
    <w:rsid w:val="007B18A4"/>
    <w:rsid w:val="007B7A0C"/>
    <w:rsid w:val="007C27AB"/>
    <w:rsid w:val="007C3B21"/>
    <w:rsid w:val="007C56D9"/>
    <w:rsid w:val="007C6930"/>
    <w:rsid w:val="007D43B8"/>
    <w:rsid w:val="007D7779"/>
    <w:rsid w:val="007E2EF6"/>
    <w:rsid w:val="007F5453"/>
    <w:rsid w:val="00806045"/>
    <w:rsid w:val="008064A2"/>
    <w:rsid w:val="00810C28"/>
    <w:rsid w:val="00820877"/>
    <w:rsid w:val="0082227B"/>
    <w:rsid w:val="00824D6F"/>
    <w:rsid w:val="00826D00"/>
    <w:rsid w:val="008311B2"/>
    <w:rsid w:val="00834562"/>
    <w:rsid w:val="008364AA"/>
    <w:rsid w:val="0084235A"/>
    <w:rsid w:val="00850E2D"/>
    <w:rsid w:val="00857ED9"/>
    <w:rsid w:val="00862E78"/>
    <w:rsid w:val="00864539"/>
    <w:rsid w:val="00866E9A"/>
    <w:rsid w:val="008745E4"/>
    <w:rsid w:val="00877E36"/>
    <w:rsid w:val="00880D63"/>
    <w:rsid w:val="00880E57"/>
    <w:rsid w:val="008A023A"/>
    <w:rsid w:val="008B31EC"/>
    <w:rsid w:val="008B395B"/>
    <w:rsid w:val="008B41CF"/>
    <w:rsid w:val="008B5F3F"/>
    <w:rsid w:val="008C1294"/>
    <w:rsid w:val="008E4AE4"/>
    <w:rsid w:val="008E65B4"/>
    <w:rsid w:val="008F42B8"/>
    <w:rsid w:val="008F674E"/>
    <w:rsid w:val="00900DDF"/>
    <w:rsid w:val="00912C21"/>
    <w:rsid w:val="00922773"/>
    <w:rsid w:val="0092622E"/>
    <w:rsid w:val="0093675D"/>
    <w:rsid w:val="00937F1C"/>
    <w:rsid w:val="00953834"/>
    <w:rsid w:val="00961F84"/>
    <w:rsid w:val="00963721"/>
    <w:rsid w:val="00971EC3"/>
    <w:rsid w:val="00972DFC"/>
    <w:rsid w:val="00982AC5"/>
    <w:rsid w:val="009926F2"/>
    <w:rsid w:val="009A1AE5"/>
    <w:rsid w:val="009A294B"/>
    <w:rsid w:val="009A414F"/>
    <w:rsid w:val="009B6465"/>
    <w:rsid w:val="009C4554"/>
    <w:rsid w:val="009D3ABD"/>
    <w:rsid w:val="009D7AAD"/>
    <w:rsid w:val="009F083D"/>
    <w:rsid w:val="009F4641"/>
    <w:rsid w:val="009F5476"/>
    <w:rsid w:val="00A00DE9"/>
    <w:rsid w:val="00A019C9"/>
    <w:rsid w:val="00A05074"/>
    <w:rsid w:val="00A12E45"/>
    <w:rsid w:val="00A13845"/>
    <w:rsid w:val="00A16F61"/>
    <w:rsid w:val="00A2475F"/>
    <w:rsid w:val="00A24F66"/>
    <w:rsid w:val="00A25241"/>
    <w:rsid w:val="00A32E57"/>
    <w:rsid w:val="00A63B68"/>
    <w:rsid w:val="00A63FF5"/>
    <w:rsid w:val="00A6695C"/>
    <w:rsid w:val="00A733E8"/>
    <w:rsid w:val="00A73880"/>
    <w:rsid w:val="00A778D0"/>
    <w:rsid w:val="00A87C49"/>
    <w:rsid w:val="00A932F7"/>
    <w:rsid w:val="00A9336E"/>
    <w:rsid w:val="00AA1202"/>
    <w:rsid w:val="00AA6622"/>
    <w:rsid w:val="00AC2EA8"/>
    <w:rsid w:val="00AD35FB"/>
    <w:rsid w:val="00AD4375"/>
    <w:rsid w:val="00AD51AD"/>
    <w:rsid w:val="00AE29BE"/>
    <w:rsid w:val="00AF0D95"/>
    <w:rsid w:val="00AF63F9"/>
    <w:rsid w:val="00B0755E"/>
    <w:rsid w:val="00B156EC"/>
    <w:rsid w:val="00B15C80"/>
    <w:rsid w:val="00B1742C"/>
    <w:rsid w:val="00B20F09"/>
    <w:rsid w:val="00B21B2D"/>
    <w:rsid w:val="00B43CB8"/>
    <w:rsid w:val="00B50736"/>
    <w:rsid w:val="00B72DA3"/>
    <w:rsid w:val="00B85445"/>
    <w:rsid w:val="00B90C19"/>
    <w:rsid w:val="00B92D48"/>
    <w:rsid w:val="00BA332D"/>
    <w:rsid w:val="00BB1D3C"/>
    <w:rsid w:val="00BC0721"/>
    <w:rsid w:val="00BC57B4"/>
    <w:rsid w:val="00BC7778"/>
    <w:rsid w:val="00BE69BB"/>
    <w:rsid w:val="00C12672"/>
    <w:rsid w:val="00C14206"/>
    <w:rsid w:val="00C33D8B"/>
    <w:rsid w:val="00C4093B"/>
    <w:rsid w:val="00C42E1D"/>
    <w:rsid w:val="00C50D31"/>
    <w:rsid w:val="00C56F80"/>
    <w:rsid w:val="00C66C58"/>
    <w:rsid w:val="00C72682"/>
    <w:rsid w:val="00C75D9D"/>
    <w:rsid w:val="00CA482B"/>
    <w:rsid w:val="00CB6825"/>
    <w:rsid w:val="00CC7A2B"/>
    <w:rsid w:val="00CD47D0"/>
    <w:rsid w:val="00CD72EE"/>
    <w:rsid w:val="00CE4BD6"/>
    <w:rsid w:val="00CF5B8C"/>
    <w:rsid w:val="00CF5E49"/>
    <w:rsid w:val="00CF6E8F"/>
    <w:rsid w:val="00D03666"/>
    <w:rsid w:val="00D104B6"/>
    <w:rsid w:val="00D13028"/>
    <w:rsid w:val="00D149E4"/>
    <w:rsid w:val="00D17DFA"/>
    <w:rsid w:val="00D21531"/>
    <w:rsid w:val="00D22FD3"/>
    <w:rsid w:val="00D34952"/>
    <w:rsid w:val="00D35A09"/>
    <w:rsid w:val="00D415F7"/>
    <w:rsid w:val="00D4277F"/>
    <w:rsid w:val="00D42F79"/>
    <w:rsid w:val="00D51EB1"/>
    <w:rsid w:val="00D5335B"/>
    <w:rsid w:val="00D5596B"/>
    <w:rsid w:val="00D6376E"/>
    <w:rsid w:val="00D70A3F"/>
    <w:rsid w:val="00D72BFE"/>
    <w:rsid w:val="00D74E04"/>
    <w:rsid w:val="00D75EE9"/>
    <w:rsid w:val="00D86344"/>
    <w:rsid w:val="00D96252"/>
    <w:rsid w:val="00D968ED"/>
    <w:rsid w:val="00DA342A"/>
    <w:rsid w:val="00DC4D2C"/>
    <w:rsid w:val="00DD2825"/>
    <w:rsid w:val="00DD38C3"/>
    <w:rsid w:val="00DD622E"/>
    <w:rsid w:val="00DD6A1F"/>
    <w:rsid w:val="00DD7312"/>
    <w:rsid w:val="00DE21DF"/>
    <w:rsid w:val="00DE6523"/>
    <w:rsid w:val="00DE704B"/>
    <w:rsid w:val="00DF42AA"/>
    <w:rsid w:val="00DF5E64"/>
    <w:rsid w:val="00DF7FD1"/>
    <w:rsid w:val="00E01D95"/>
    <w:rsid w:val="00E0403A"/>
    <w:rsid w:val="00E1224C"/>
    <w:rsid w:val="00E20475"/>
    <w:rsid w:val="00E3011B"/>
    <w:rsid w:val="00E364BD"/>
    <w:rsid w:val="00E46354"/>
    <w:rsid w:val="00E53766"/>
    <w:rsid w:val="00E5490C"/>
    <w:rsid w:val="00E5592A"/>
    <w:rsid w:val="00E6005E"/>
    <w:rsid w:val="00E6128A"/>
    <w:rsid w:val="00E71894"/>
    <w:rsid w:val="00E7210F"/>
    <w:rsid w:val="00E73ABD"/>
    <w:rsid w:val="00E8388F"/>
    <w:rsid w:val="00E840F4"/>
    <w:rsid w:val="00E85ABA"/>
    <w:rsid w:val="00E97E09"/>
    <w:rsid w:val="00EA0BD9"/>
    <w:rsid w:val="00EA5A3B"/>
    <w:rsid w:val="00EB4FDD"/>
    <w:rsid w:val="00EC561F"/>
    <w:rsid w:val="00EF2A20"/>
    <w:rsid w:val="00F0107E"/>
    <w:rsid w:val="00F135BA"/>
    <w:rsid w:val="00F14E01"/>
    <w:rsid w:val="00F23160"/>
    <w:rsid w:val="00F27729"/>
    <w:rsid w:val="00F4575D"/>
    <w:rsid w:val="00F77A42"/>
    <w:rsid w:val="00F82DE3"/>
    <w:rsid w:val="00F86E38"/>
    <w:rsid w:val="00F96357"/>
    <w:rsid w:val="00FA57B5"/>
    <w:rsid w:val="00FA5A98"/>
    <w:rsid w:val="00FC4F65"/>
    <w:rsid w:val="00FC5280"/>
    <w:rsid w:val="00FC5C92"/>
    <w:rsid w:val="00FD01E9"/>
    <w:rsid w:val="00FD6CEE"/>
    <w:rsid w:val="00FE417C"/>
    <w:rsid w:val="00FE7B79"/>
    <w:rsid w:val="00FF51CE"/>
    <w:rsid w:val="00FF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87"/>
    <w:pPr>
      <w:spacing w:after="0" w:line="240" w:lineRule="auto"/>
    </w:pPr>
    <w:rPr>
      <w:rFonts w:ascii="Arial" w:eastAsia="Times New Roman" w:hAnsi="Arial" w:cs="Times New Roman"/>
      <w:szCs w:val="20"/>
    </w:rPr>
  </w:style>
  <w:style w:type="paragraph" w:styleId="Heading1">
    <w:name w:val="heading 1"/>
    <w:basedOn w:val="Normal"/>
    <w:next w:val="text"/>
    <w:link w:val="Heading1Char1"/>
    <w:qFormat/>
    <w:rsid w:val="00746A87"/>
    <w:pPr>
      <w:keepNext/>
      <w:pBdr>
        <w:top w:val="single" w:sz="4" w:space="1" w:color="auto"/>
        <w:bottom w:val="single" w:sz="4" w:space="1" w:color="auto"/>
      </w:pBdr>
      <w:shd w:val="clear" w:color="auto" w:fill="0C0C0C"/>
      <w:spacing w:before="60" w:after="60"/>
      <w:ind w:firstLine="72"/>
      <w:outlineLvl w:val="0"/>
    </w:pPr>
    <w:rPr>
      <w:rFonts w:ascii="Arial Black" w:hAnsi="Arial Black"/>
      <w:caps/>
      <w:color w:val="FFFFFF"/>
      <w:kern w:val="28"/>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46A87"/>
    <w:rPr>
      <w:rFonts w:asciiTheme="majorHAnsi" w:eastAsiaTheme="majorEastAsia" w:hAnsiTheme="majorHAnsi" w:cstheme="majorBidi"/>
      <w:b/>
      <w:bCs/>
      <w:color w:val="365F91" w:themeColor="accent1" w:themeShade="BF"/>
      <w:sz w:val="28"/>
      <w:szCs w:val="28"/>
    </w:rPr>
  </w:style>
  <w:style w:type="paragraph" w:customStyle="1" w:styleId="text">
    <w:name w:val="text"/>
    <w:basedOn w:val="Normal"/>
    <w:link w:val="textChar"/>
    <w:rsid w:val="00746A87"/>
    <w:pPr>
      <w:spacing w:after="60"/>
      <w:ind w:firstLine="360"/>
    </w:pPr>
  </w:style>
  <w:style w:type="character" w:customStyle="1" w:styleId="Heading1Char1">
    <w:name w:val="Heading 1 Char1"/>
    <w:basedOn w:val="DefaultParagraphFont"/>
    <w:link w:val="Heading1"/>
    <w:rsid w:val="00746A87"/>
    <w:rPr>
      <w:rFonts w:ascii="Arial Black" w:eastAsia="Times New Roman" w:hAnsi="Arial Black" w:cs="Times New Roman"/>
      <w:caps/>
      <w:color w:val="FFFFFF"/>
      <w:kern w:val="28"/>
      <w:sz w:val="23"/>
      <w:szCs w:val="20"/>
      <w:shd w:val="clear" w:color="auto" w:fill="0C0C0C"/>
    </w:rPr>
  </w:style>
  <w:style w:type="character" w:customStyle="1" w:styleId="textChar">
    <w:name w:val="text Char"/>
    <w:basedOn w:val="DefaultParagraphFont"/>
    <w:link w:val="text"/>
    <w:rsid w:val="00746A87"/>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87"/>
    <w:pPr>
      <w:spacing w:after="0" w:line="240" w:lineRule="auto"/>
    </w:pPr>
    <w:rPr>
      <w:rFonts w:ascii="Arial" w:eastAsia="Times New Roman" w:hAnsi="Arial" w:cs="Times New Roman"/>
      <w:szCs w:val="20"/>
    </w:rPr>
  </w:style>
  <w:style w:type="paragraph" w:styleId="Heading1">
    <w:name w:val="heading 1"/>
    <w:basedOn w:val="Normal"/>
    <w:next w:val="text"/>
    <w:link w:val="Heading1Char1"/>
    <w:qFormat/>
    <w:rsid w:val="00746A87"/>
    <w:pPr>
      <w:keepNext/>
      <w:pBdr>
        <w:top w:val="single" w:sz="4" w:space="1" w:color="auto"/>
        <w:bottom w:val="single" w:sz="4" w:space="1" w:color="auto"/>
      </w:pBdr>
      <w:shd w:val="clear" w:color="auto" w:fill="0C0C0C"/>
      <w:spacing w:before="60" w:after="60"/>
      <w:ind w:firstLine="72"/>
      <w:outlineLvl w:val="0"/>
    </w:pPr>
    <w:rPr>
      <w:rFonts w:ascii="Arial Black" w:hAnsi="Arial Black"/>
      <w:caps/>
      <w:color w:val="FFFFFF"/>
      <w:kern w:val="28"/>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46A87"/>
    <w:rPr>
      <w:rFonts w:asciiTheme="majorHAnsi" w:eastAsiaTheme="majorEastAsia" w:hAnsiTheme="majorHAnsi" w:cstheme="majorBidi"/>
      <w:b/>
      <w:bCs/>
      <w:color w:val="365F91" w:themeColor="accent1" w:themeShade="BF"/>
      <w:sz w:val="28"/>
      <w:szCs w:val="28"/>
    </w:rPr>
  </w:style>
  <w:style w:type="paragraph" w:customStyle="1" w:styleId="text">
    <w:name w:val="text"/>
    <w:basedOn w:val="Normal"/>
    <w:link w:val="textChar"/>
    <w:rsid w:val="00746A87"/>
    <w:pPr>
      <w:spacing w:after="60"/>
      <w:ind w:firstLine="360"/>
    </w:pPr>
  </w:style>
  <w:style w:type="character" w:customStyle="1" w:styleId="Heading1Char1">
    <w:name w:val="Heading 1 Char1"/>
    <w:basedOn w:val="DefaultParagraphFont"/>
    <w:link w:val="Heading1"/>
    <w:rsid w:val="00746A87"/>
    <w:rPr>
      <w:rFonts w:ascii="Arial Black" w:eastAsia="Times New Roman" w:hAnsi="Arial Black" w:cs="Times New Roman"/>
      <w:caps/>
      <w:color w:val="FFFFFF"/>
      <w:kern w:val="28"/>
      <w:sz w:val="23"/>
      <w:szCs w:val="20"/>
      <w:shd w:val="clear" w:color="auto" w:fill="0C0C0C"/>
    </w:rPr>
  </w:style>
  <w:style w:type="character" w:customStyle="1" w:styleId="textChar">
    <w:name w:val="text Char"/>
    <w:basedOn w:val="DefaultParagraphFont"/>
    <w:link w:val="text"/>
    <w:rsid w:val="00746A87"/>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Robinson, Caroline E</dc:creator>
  <cp:lastModifiedBy>boomer</cp:lastModifiedBy>
  <cp:revision>2</cp:revision>
  <dcterms:created xsi:type="dcterms:W3CDTF">2017-06-04T19:51:00Z</dcterms:created>
  <dcterms:modified xsi:type="dcterms:W3CDTF">2017-06-04T19:51:00Z</dcterms:modified>
</cp:coreProperties>
</file>